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3F9" w:rsidRPr="00C94D25" w:rsidRDefault="00CD03F9" w:rsidP="00CD03F9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r w:rsidRPr="00C94D25">
        <w:rPr>
          <w:rFonts w:ascii="標楷體" w:eastAsia="標楷體" w:hAnsi="標楷體" w:hint="eastAsia"/>
          <w:sz w:val="28"/>
          <w:szCs w:val="28"/>
        </w:rPr>
        <w:t>南</w:t>
      </w:r>
      <w:r w:rsidRPr="00C94D25">
        <w:rPr>
          <w:rFonts w:ascii="標楷體" w:eastAsia="標楷體" w:hAnsi="標楷體"/>
          <w:sz w:val="28"/>
          <w:szCs w:val="28"/>
        </w:rPr>
        <w:t>投縣社</w:t>
      </w:r>
      <w:r w:rsidRPr="00C94D25">
        <w:rPr>
          <w:rFonts w:ascii="標楷體" w:eastAsia="標楷體" w:hAnsi="標楷體" w:hint="eastAsia"/>
          <w:sz w:val="28"/>
          <w:szCs w:val="28"/>
        </w:rPr>
        <w:t>區</w:t>
      </w:r>
      <w:r w:rsidRPr="00C94D25">
        <w:rPr>
          <w:rFonts w:ascii="標楷體" w:eastAsia="標楷體" w:hAnsi="標楷體"/>
          <w:sz w:val="28"/>
          <w:szCs w:val="28"/>
        </w:rPr>
        <w:t>整合型服務中心派案原則</w:t>
      </w:r>
    </w:p>
    <w:p w:rsidR="00CD03F9" w:rsidRPr="00C94D25" w:rsidRDefault="00CD03F9" w:rsidP="00CD03F9">
      <w:pPr>
        <w:jc w:val="right"/>
        <w:rPr>
          <w:sz w:val="16"/>
          <w:szCs w:val="16"/>
        </w:rPr>
      </w:pPr>
      <w:r w:rsidRPr="00C94D25">
        <w:rPr>
          <w:rFonts w:ascii="標楷體" w:eastAsia="標楷體" w:hAnsi="標楷體" w:hint="eastAsia"/>
          <w:sz w:val="16"/>
          <w:szCs w:val="16"/>
        </w:rPr>
        <w:t>中華</w:t>
      </w:r>
      <w:r w:rsidRPr="00C94D25">
        <w:rPr>
          <w:rFonts w:ascii="標楷體" w:eastAsia="標楷體" w:hAnsi="標楷體"/>
          <w:sz w:val="16"/>
          <w:szCs w:val="16"/>
        </w:rPr>
        <w:t>民國</w:t>
      </w:r>
      <w:r w:rsidR="00C94D25" w:rsidRPr="00C94D25">
        <w:rPr>
          <w:rFonts w:ascii="標楷體" w:eastAsia="標楷體" w:hAnsi="標楷體" w:hint="eastAsia"/>
          <w:sz w:val="16"/>
          <w:szCs w:val="16"/>
        </w:rPr>
        <w:t>108</w:t>
      </w:r>
      <w:r w:rsidRPr="00C94D25">
        <w:rPr>
          <w:rFonts w:ascii="標楷體" w:eastAsia="標楷體" w:hAnsi="標楷體"/>
          <w:sz w:val="16"/>
          <w:szCs w:val="16"/>
        </w:rPr>
        <w:t>年</w:t>
      </w:r>
      <w:r w:rsidR="00C94D25" w:rsidRPr="00C94D25">
        <w:rPr>
          <w:rFonts w:ascii="標楷體" w:eastAsia="標楷體" w:hAnsi="標楷體"/>
          <w:sz w:val="16"/>
          <w:szCs w:val="16"/>
        </w:rPr>
        <w:t>9</w:t>
      </w:r>
      <w:r w:rsidRPr="00C94D25">
        <w:rPr>
          <w:rFonts w:ascii="標楷體" w:eastAsia="標楷體" w:hAnsi="標楷體"/>
          <w:sz w:val="16"/>
          <w:szCs w:val="16"/>
        </w:rPr>
        <w:t>月</w:t>
      </w:r>
      <w:r w:rsidR="00C94D25" w:rsidRPr="00C94D25">
        <w:rPr>
          <w:rFonts w:ascii="標楷體" w:eastAsia="標楷體" w:hAnsi="標楷體"/>
          <w:sz w:val="16"/>
          <w:szCs w:val="16"/>
        </w:rPr>
        <w:t>24</w:t>
      </w:r>
      <w:r w:rsidRPr="00C94D25">
        <w:rPr>
          <w:rFonts w:ascii="標楷體" w:eastAsia="標楷體" w:hAnsi="標楷體"/>
          <w:sz w:val="16"/>
          <w:szCs w:val="16"/>
        </w:rPr>
        <w:t>日府社</w:t>
      </w:r>
      <w:r w:rsidRPr="00C94D25">
        <w:rPr>
          <w:rFonts w:ascii="標楷體" w:eastAsia="標楷體" w:hAnsi="標楷體" w:hint="eastAsia"/>
          <w:sz w:val="16"/>
          <w:szCs w:val="16"/>
        </w:rPr>
        <w:t>福</w:t>
      </w:r>
      <w:r w:rsidRPr="00C94D25">
        <w:rPr>
          <w:rFonts w:ascii="標楷體" w:eastAsia="標楷體" w:hAnsi="標楷體"/>
          <w:sz w:val="16"/>
          <w:szCs w:val="16"/>
        </w:rPr>
        <w:t>字第</w:t>
      </w:r>
      <w:hyperlink r:id="rId7" w:history="1">
        <w:r w:rsidR="00C94D25" w:rsidRPr="00C94D25">
          <w:rPr>
            <w:rFonts w:ascii="標楷體" w:eastAsia="標楷體" w:hAnsi="標楷體" w:hint="eastAsia"/>
            <w:sz w:val="16"/>
            <w:szCs w:val="16"/>
          </w:rPr>
          <w:t xml:space="preserve">1080213333 </w:t>
        </w:r>
      </w:hyperlink>
      <w:r w:rsidRPr="00C94D25">
        <w:rPr>
          <w:rFonts w:ascii="標楷體" w:eastAsia="標楷體" w:hAnsi="標楷體"/>
          <w:sz w:val="16"/>
          <w:szCs w:val="16"/>
        </w:rPr>
        <w:t>號</w:t>
      </w:r>
      <w:r w:rsidRPr="00C94D25">
        <w:rPr>
          <w:rFonts w:ascii="標楷體" w:eastAsia="標楷體" w:hAnsi="標楷體" w:hint="eastAsia"/>
          <w:sz w:val="16"/>
          <w:szCs w:val="16"/>
        </w:rPr>
        <w:t>函</w:t>
      </w:r>
      <w:r w:rsidRPr="00C94D25">
        <w:rPr>
          <w:rFonts w:ascii="標楷體" w:eastAsia="標楷體" w:hAnsi="標楷體"/>
          <w:sz w:val="16"/>
          <w:szCs w:val="16"/>
        </w:rPr>
        <w:t>頒</w:t>
      </w:r>
    </w:p>
    <w:p w:rsidR="00CD03F9" w:rsidRPr="00C94D25" w:rsidRDefault="00CD03F9" w:rsidP="00CD03F9">
      <w:pPr>
        <w:tabs>
          <w:tab w:val="left" w:pos="709"/>
        </w:tabs>
        <w:spacing w:beforeLines="50" w:before="180" w:line="4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C94D25">
        <w:rPr>
          <w:rFonts w:ascii="標楷體" w:eastAsia="標楷體" w:hAnsi="標楷體" w:hint="eastAsia"/>
          <w:sz w:val="28"/>
          <w:szCs w:val="28"/>
        </w:rPr>
        <w:t>一</w:t>
      </w:r>
      <w:r w:rsidRPr="00C94D25">
        <w:rPr>
          <w:rFonts w:ascii="標楷體" w:eastAsia="標楷體" w:hAnsi="標楷體"/>
          <w:sz w:val="28"/>
          <w:szCs w:val="28"/>
        </w:rPr>
        <w:t>、</w:t>
      </w:r>
      <w:r w:rsidRPr="00C94D25">
        <w:rPr>
          <w:rFonts w:ascii="標楷體" w:eastAsia="標楷體" w:hAnsi="標楷體" w:hint="eastAsia"/>
          <w:sz w:val="28"/>
          <w:szCs w:val="28"/>
        </w:rPr>
        <w:t>南投</w:t>
      </w:r>
      <w:r w:rsidRPr="00C94D25">
        <w:rPr>
          <w:rFonts w:ascii="標楷體" w:eastAsia="標楷體" w:hAnsi="標楷體"/>
          <w:sz w:val="28"/>
          <w:szCs w:val="28"/>
        </w:rPr>
        <w:t>縣政府(</w:t>
      </w:r>
      <w:r w:rsidRPr="00C94D25">
        <w:rPr>
          <w:rFonts w:ascii="標楷體" w:eastAsia="標楷體" w:hAnsi="標楷體" w:hint="eastAsia"/>
          <w:sz w:val="28"/>
          <w:szCs w:val="28"/>
        </w:rPr>
        <w:t>以</w:t>
      </w:r>
      <w:r w:rsidRPr="00C94D25">
        <w:rPr>
          <w:rFonts w:ascii="標楷體" w:eastAsia="標楷體" w:hAnsi="標楷體"/>
          <w:sz w:val="28"/>
          <w:szCs w:val="28"/>
        </w:rPr>
        <w:t>下</w:t>
      </w:r>
      <w:r w:rsidRPr="00C94D25">
        <w:rPr>
          <w:rFonts w:ascii="標楷體" w:eastAsia="標楷體" w:hAnsi="標楷體" w:hint="eastAsia"/>
          <w:sz w:val="28"/>
          <w:szCs w:val="28"/>
        </w:rPr>
        <w:t>簡</w:t>
      </w:r>
      <w:r w:rsidRPr="00C94D25">
        <w:rPr>
          <w:rFonts w:ascii="標楷體" w:eastAsia="標楷體" w:hAnsi="標楷體"/>
          <w:sz w:val="28"/>
          <w:szCs w:val="28"/>
        </w:rPr>
        <w:t>稱本府</w:t>
      </w:r>
      <w:r w:rsidRPr="00C94D25">
        <w:rPr>
          <w:rFonts w:ascii="標楷體" w:eastAsia="標楷體" w:hAnsi="標楷體" w:hint="eastAsia"/>
          <w:sz w:val="28"/>
          <w:szCs w:val="28"/>
        </w:rPr>
        <w:t>)為落實社區整合型服務中心(以下簡</w:t>
      </w:r>
      <w:r w:rsidRPr="00C94D25">
        <w:rPr>
          <w:rFonts w:ascii="標楷體" w:eastAsia="標楷體" w:hAnsi="標楷體"/>
          <w:sz w:val="28"/>
          <w:szCs w:val="28"/>
        </w:rPr>
        <w:t>稱</w:t>
      </w:r>
      <w:r w:rsidRPr="00C94D25">
        <w:rPr>
          <w:rFonts w:ascii="標楷體" w:eastAsia="標楷體" w:hAnsi="標楷體" w:hint="eastAsia"/>
          <w:sz w:val="28"/>
          <w:szCs w:val="28"/>
        </w:rPr>
        <w:t>A單</w:t>
      </w:r>
      <w:r w:rsidRPr="00C94D25">
        <w:rPr>
          <w:rFonts w:ascii="標楷體" w:eastAsia="標楷體" w:hAnsi="標楷體"/>
          <w:sz w:val="28"/>
          <w:szCs w:val="28"/>
        </w:rPr>
        <w:t>位</w:t>
      </w:r>
      <w:r w:rsidRPr="00C94D25">
        <w:rPr>
          <w:rFonts w:ascii="標楷體" w:eastAsia="標楷體" w:hAnsi="標楷體" w:hint="eastAsia"/>
          <w:sz w:val="28"/>
          <w:szCs w:val="28"/>
        </w:rPr>
        <w:t>)於照顧管理專員進行個案失能等級及額度判定後，協助個案連結長照服務提供單位，特訂</w:t>
      </w:r>
      <w:r w:rsidRPr="00C94D25">
        <w:rPr>
          <w:rFonts w:ascii="標楷體" w:eastAsia="標楷體" w:hAnsi="標楷體"/>
          <w:sz w:val="28"/>
          <w:szCs w:val="28"/>
        </w:rPr>
        <w:t>定</w:t>
      </w:r>
      <w:r w:rsidRPr="00C94D25">
        <w:rPr>
          <w:rFonts w:ascii="標楷體" w:eastAsia="標楷體" w:hAnsi="標楷體" w:hint="eastAsia"/>
          <w:sz w:val="28"/>
          <w:szCs w:val="28"/>
        </w:rPr>
        <w:t>本</w:t>
      </w:r>
      <w:r w:rsidRPr="00C94D25">
        <w:rPr>
          <w:rFonts w:ascii="標楷體" w:eastAsia="標楷體" w:hAnsi="標楷體"/>
          <w:sz w:val="28"/>
          <w:szCs w:val="28"/>
        </w:rPr>
        <w:t>原則</w:t>
      </w:r>
      <w:r w:rsidRPr="00C94D25">
        <w:rPr>
          <w:rFonts w:ascii="標楷體" w:eastAsia="標楷體" w:hAnsi="標楷體" w:hint="eastAsia"/>
          <w:sz w:val="28"/>
          <w:szCs w:val="28"/>
        </w:rPr>
        <w:t>。</w:t>
      </w:r>
    </w:p>
    <w:p w:rsidR="00CD03F9" w:rsidRPr="00C94D25" w:rsidRDefault="00CD03F9" w:rsidP="00CD03F9">
      <w:pPr>
        <w:tabs>
          <w:tab w:val="left" w:pos="709"/>
        </w:tabs>
        <w:spacing w:beforeLines="50" w:before="180" w:line="40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C94D25">
        <w:rPr>
          <w:rFonts w:ascii="標楷體" w:eastAsia="標楷體" w:hAnsi="標楷體" w:hint="eastAsia"/>
          <w:sz w:val="28"/>
          <w:szCs w:val="28"/>
        </w:rPr>
        <w:t>二</w:t>
      </w:r>
      <w:r w:rsidRPr="00C94D25">
        <w:rPr>
          <w:rFonts w:ascii="標楷體" w:eastAsia="標楷體" w:hAnsi="標楷體"/>
          <w:sz w:val="28"/>
          <w:szCs w:val="28"/>
        </w:rPr>
        <w:t>、</w:t>
      </w:r>
      <w:r w:rsidRPr="00C94D25">
        <w:rPr>
          <w:rFonts w:ascii="標楷體" w:eastAsia="標楷體" w:hAnsi="標楷體" w:hint="eastAsia"/>
          <w:sz w:val="28"/>
          <w:szCs w:val="28"/>
        </w:rPr>
        <w:t>派案原則：</w:t>
      </w:r>
    </w:p>
    <w:p w:rsidR="00CD03F9" w:rsidRPr="00C94D25" w:rsidRDefault="00CD03F9" w:rsidP="00414B1C">
      <w:pPr>
        <w:tabs>
          <w:tab w:val="left" w:pos="709"/>
        </w:tabs>
        <w:spacing w:line="400" w:lineRule="exact"/>
        <w:ind w:leftChars="200"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C94D25">
        <w:rPr>
          <w:rFonts w:ascii="標楷體" w:eastAsia="標楷體" w:hAnsi="標楷體" w:hint="eastAsia"/>
          <w:sz w:val="28"/>
          <w:szCs w:val="28"/>
        </w:rPr>
        <w:t>(一)基於全派案原則，A單位應進行派案源頭管理，A單位個管人員應秉持個案管理之核心公平派案，以服務使用者最佳利益為優先，派案時應依下列順序，考量欲派之長照服務提供單位(以下簡稱B單位)之量能予以派案，並給予個案充足的長照服務資訊，另A</w:t>
      </w:r>
      <w:r w:rsidR="00AE0A6F" w:rsidRPr="00C94D25">
        <w:rPr>
          <w:rFonts w:ascii="標楷體" w:eastAsia="標楷體" w:hAnsi="標楷體" w:hint="eastAsia"/>
          <w:sz w:val="28"/>
          <w:szCs w:val="28"/>
        </w:rPr>
        <w:t>單位須於聯繫會議及本府網站上公開輪派表，依序輪派：</w:t>
      </w:r>
    </w:p>
    <w:p w:rsidR="00CD03F9" w:rsidRPr="00C94D25" w:rsidRDefault="00CD03F9" w:rsidP="00414B1C">
      <w:pPr>
        <w:tabs>
          <w:tab w:val="left" w:pos="709"/>
        </w:tabs>
        <w:spacing w:line="400" w:lineRule="exact"/>
        <w:ind w:leftChars="200" w:left="480"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C94D25">
        <w:rPr>
          <w:rFonts w:ascii="標楷體" w:eastAsia="標楷體" w:hAnsi="標楷體" w:hint="eastAsia"/>
          <w:sz w:val="28"/>
          <w:szCs w:val="28"/>
        </w:rPr>
        <w:t>1.個案選擇服務單位意願優先。</w:t>
      </w:r>
    </w:p>
    <w:p w:rsidR="00CD03F9" w:rsidRPr="00C94D25" w:rsidRDefault="00CD03F9" w:rsidP="00414B1C">
      <w:pPr>
        <w:tabs>
          <w:tab w:val="left" w:pos="709"/>
        </w:tabs>
        <w:spacing w:line="400" w:lineRule="exact"/>
        <w:ind w:leftChars="200" w:left="480"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C94D25">
        <w:rPr>
          <w:rFonts w:ascii="標楷體" w:eastAsia="標楷體" w:hAnsi="標楷體" w:hint="eastAsia"/>
          <w:sz w:val="28"/>
          <w:szCs w:val="28"/>
        </w:rPr>
        <w:t>2.由區域內B單位開發轉介。</w:t>
      </w:r>
    </w:p>
    <w:p w:rsidR="00CD03F9" w:rsidRPr="00C94D25" w:rsidRDefault="00CD03F9" w:rsidP="00414B1C">
      <w:pPr>
        <w:tabs>
          <w:tab w:val="left" w:pos="709"/>
        </w:tabs>
        <w:spacing w:line="400" w:lineRule="exact"/>
        <w:ind w:leftChars="320" w:left="1048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C94D25">
        <w:rPr>
          <w:rFonts w:ascii="標楷體" w:eastAsia="標楷體" w:hAnsi="標楷體" w:hint="eastAsia"/>
          <w:sz w:val="28"/>
          <w:szCs w:val="28"/>
        </w:rPr>
        <w:t>3.依轄內之B單位，以公平原則依序輪派(須考量服務提供單位服務人力及服務量能、服務提供即時性、服務提供可近性)。</w:t>
      </w:r>
    </w:p>
    <w:p w:rsidR="00CD03F9" w:rsidRPr="00C94D25" w:rsidRDefault="00CD03F9" w:rsidP="00414B1C">
      <w:pPr>
        <w:tabs>
          <w:tab w:val="left" w:pos="709"/>
        </w:tabs>
        <w:spacing w:line="400" w:lineRule="exact"/>
        <w:ind w:leftChars="200"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C94D25">
        <w:rPr>
          <w:rFonts w:ascii="標楷體" w:eastAsia="標楷體" w:hAnsi="標楷體" w:hint="eastAsia"/>
          <w:sz w:val="28"/>
          <w:szCs w:val="28"/>
        </w:rPr>
        <w:t>(二)依前款公告之輪派表順序派案，如該</w:t>
      </w:r>
      <w:r w:rsidR="00AE0A6F" w:rsidRPr="00C94D25">
        <w:rPr>
          <w:rFonts w:ascii="標楷體" w:eastAsia="標楷體" w:hAnsi="標楷體" w:hint="eastAsia"/>
          <w:sz w:val="28"/>
          <w:szCs w:val="28"/>
        </w:rPr>
        <w:t>B</w:t>
      </w:r>
      <w:r w:rsidRPr="00C94D25">
        <w:rPr>
          <w:rFonts w:ascii="標楷體" w:eastAsia="標楷體" w:hAnsi="標楷體" w:hint="eastAsia"/>
          <w:sz w:val="28"/>
          <w:szCs w:val="28"/>
        </w:rPr>
        <w:t>單位無法提供服務，即跳派下一</w:t>
      </w:r>
      <w:r w:rsidR="00AE0A6F" w:rsidRPr="00C94D25">
        <w:rPr>
          <w:rFonts w:ascii="標楷體" w:eastAsia="標楷體" w:hAnsi="標楷體" w:hint="eastAsia"/>
          <w:sz w:val="28"/>
          <w:szCs w:val="28"/>
        </w:rPr>
        <w:t>B</w:t>
      </w:r>
      <w:r w:rsidRPr="00C94D25">
        <w:rPr>
          <w:rFonts w:ascii="標楷體" w:eastAsia="標楷體" w:hAnsi="標楷體" w:hint="eastAsia"/>
          <w:sz w:val="28"/>
          <w:szCs w:val="28"/>
        </w:rPr>
        <w:t>單位。A單位須於每月</w:t>
      </w:r>
      <w:r w:rsidR="00884FE7" w:rsidRPr="00C94D25">
        <w:rPr>
          <w:rFonts w:ascii="標楷體" w:eastAsia="標楷體" w:hAnsi="標楷體" w:hint="eastAsia"/>
          <w:sz w:val="28"/>
          <w:szCs w:val="28"/>
        </w:rPr>
        <w:t>十</w:t>
      </w:r>
      <w:r w:rsidR="00342D5B" w:rsidRPr="00C94D25">
        <w:rPr>
          <w:rFonts w:ascii="標楷體" w:eastAsia="標楷體" w:hAnsi="標楷體" w:hint="eastAsia"/>
          <w:sz w:val="28"/>
          <w:szCs w:val="28"/>
        </w:rPr>
        <w:t>日</w:t>
      </w:r>
      <w:r w:rsidRPr="00C94D25">
        <w:rPr>
          <w:rFonts w:ascii="標楷體" w:eastAsia="標楷體" w:hAnsi="標楷體" w:hint="eastAsia"/>
          <w:sz w:val="28"/>
          <w:szCs w:val="28"/>
        </w:rPr>
        <w:t>前整理B單位無法提供服務理由及分析予本府。</w:t>
      </w:r>
    </w:p>
    <w:p w:rsidR="00CD03F9" w:rsidRPr="00C94D25" w:rsidRDefault="00CD03F9" w:rsidP="00CD03F9">
      <w:pPr>
        <w:tabs>
          <w:tab w:val="left" w:pos="709"/>
        </w:tabs>
        <w:spacing w:line="40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C94D25">
        <w:rPr>
          <w:rFonts w:ascii="標楷體" w:eastAsia="標楷體" w:hAnsi="標楷體" w:hint="eastAsia"/>
          <w:sz w:val="28"/>
          <w:szCs w:val="28"/>
        </w:rPr>
        <w:t>三、B單位舊案改派原則如下：</w:t>
      </w:r>
    </w:p>
    <w:p w:rsidR="00CD03F9" w:rsidRPr="00C94D25" w:rsidRDefault="00CD03F9" w:rsidP="00414B1C">
      <w:pPr>
        <w:tabs>
          <w:tab w:val="left" w:pos="709"/>
        </w:tabs>
        <w:spacing w:line="400" w:lineRule="exact"/>
        <w:ind w:leftChars="200"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C94D25">
        <w:rPr>
          <w:rFonts w:ascii="標楷體" w:eastAsia="標楷體" w:hAnsi="標楷體" w:hint="eastAsia"/>
          <w:sz w:val="28"/>
          <w:szCs w:val="28"/>
        </w:rPr>
        <w:t>(一)B單位接案並服務後，因故無法提供服務時，應於</w:t>
      </w:r>
      <w:r w:rsidR="00884FE7" w:rsidRPr="00C94D25">
        <w:rPr>
          <w:rFonts w:ascii="標楷體" w:eastAsia="標楷體" w:hAnsi="標楷體" w:hint="eastAsia"/>
          <w:sz w:val="28"/>
          <w:szCs w:val="28"/>
        </w:rPr>
        <w:t>二</w:t>
      </w:r>
      <w:r w:rsidRPr="00C94D25">
        <w:rPr>
          <w:rFonts w:ascii="標楷體" w:eastAsia="標楷體" w:hAnsi="標楷體" w:hint="eastAsia"/>
          <w:sz w:val="28"/>
          <w:szCs w:val="28"/>
        </w:rPr>
        <w:t>週前具體提出無法提供服務原因及與個案討論之相關紀錄交予A單位，而個案則須經由A單位評估後進行改派，必要時由本府輔導，以維護個案照顧權益。</w:t>
      </w:r>
    </w:p>
    <w:p w:rsidR="00CD03F9" w:rsidRPr="00C94D25" w:rsidRDefault="00CD03F9" w:rsidP="00414B1C">
      <w:pPr>
        <w:tabs>
          <w:tab w:val="left" w:pos="709"/>
        </w:tabs>
        <w:spacing w:line="400" w:lineRule="exact"/>
        <w:ind w:leftChars="200"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C94D25">
        <w:rPr>
          <w:rFonts w:ascii="標楷體" w:eastAsia="標楷體" w:hAnsi="標楷體" w:hint="eastAsia"/>
          <w:sz w:val="28"/>
          <w:szCs w:val="28"/>
        </w:rPr>
        <w:t>(二)B單位回復無法提供服務之理由，為個案非不合理要求或無逾越服務項目範圍，視同放棄該次輪派機會，並於當月累績拒案</w:t>
      </w:r>
      <w:r w:rsidR="00884FE7" w:rsidRPr="00C94D25">
        <w:rPr>
          <w:rFonts w:ascii="標楷體" w:eastAsia="標楷體" w:hAnsi="標楷體" w:hint="eastAsia"/>
          <w:sz w:val="28"/>
          <w:szCs w:val="28"/>
        </w:rPr>
        <w:t>二</w:t>
      </w:r>
      <w:r w:rsidRPr="00C94D25">
        <w:rPr>
          <w:rFonts w:ascii="標楷體" w:eastAsia="標楷體" w:hAnsi="標楷體" w:hint="eastAsia"/>
          <w:sz w:val="28"/>
          <w:szCs w:val="28"/>
        </w:rPr>
        <w:t>次(含)以上，則跳派</w:t>
      </w:r>
      <w:r w:rsidR="00884FE7" w:rsidRPr="00C94D25">
        <w:rPr>
          <w:rFonts w:ascii="標楷體" w:eastAsia="標楷體" w:hAnsi="標楷體" w:hint="eastAsia"/>
          <w:sz w:val="28"/>
          <w:szCs w:val="28"/>
        </w:rPr>
        <w:t>二</w:t>
      </w:r>
      <w:r w:rsidRPr="00C94D25">
        <w:rPr>
          <w:rFonts w:ascii="標楷體" w:eastAsia="標楷體" w:hAnsi="標楷體" w:hint="eastAsia"/>
          <w:sz w:val="28"/>
          <w:szCs w:val="28"/>
        </w:rPr>
        <w:t>次。</w:t>
      </w:r>
    </w:p>
    <w:p w:rsidR="00CD03F9" w:rsidRPr="00C94D25" w:rsidRDefault="00CD03F9" w:rsidP="00414B1C">
      <w:pPr>
        <w:tabs>
          <w:tab w:val="left" w:pos="709"/>
        </w:tabs>
        <w:spacing w:line="400" w:lineRule="exact"/>
        <w:ind w:leftChars="200" w:left="480"/>
        <w:jc w:val="both"/>
        <w:rPr>
          <w:rFonts w:ascii="標楷體" w:eastAsia="標楷體" w:hAnsi="標楷體"/>
          <w:sz w:val="28"/>
          <w:szCs w:val="28"/>
        </w:rPr>
      </w:pPr>
      <w:r w:rsidRPr="00C94D25">
        <w:rPr>
          <w:rFonts w:ascii="標楷體" w:eastAsia="標楷體" w:hAnsi="標楷體" w:hint="eastAsia"/>
          <w:sz w:val="28"/>
          <w:szCs w:val="28"/>
        </w:rPr>
        <w:t>(三)改派協商必要時由A單位向本府提請協調。</w:t>
      </w:r>
    </w:p>
    <w:p w:rsidR="00CD03F9" w:rsidRPr="00C94D25" w:rsidRDefault="00CD03F9" w:rsidP="00414B1C">
      <w:pPr>
        <w:tabs>
          <w:tab w:val="left" w:pos="709"/>
        </w:tabs>
        <w:spacing w:line="400" w:lineRule="exact"/>
        <w:ind w:leftChars="200"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C94D25">
        <w:rPr>
          <w:rFonts w:ascii="標楷體" w:eastAsia="標楷體" w:hAnsi="標楷體" w:hint="eastAsia"/>
          <w:sz w:val="28"/>
          <w:szCs w:val="28"/>
        </w:rPr>
        <w:t>(四)若仍無法滿足個案之特殊需求或其需求非長照服務提供之範疇，則協助轉介其他非正式資源。</w:t>
      </w:r>
    </w:p>
    <w:p w:rsidR="00CD03F9" w:rsidRPr="00C94D25" w:rsidRDefault="00CD03F9" w:rsidP="00CD03F9">
      <w:pPr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C94D25">
        <w:rPr>
          <w:rFonts w:ascii="標楷體" w:eastAsia="標楷體" w:hAnsi="標楷體" w:hint="eastAsia"/>
          <w:sz w:val="28"/>
          <w:szCs w:val="28"/>
        </w:rPr>
        <w:t>四</w:t>
      </w:r>
      <w:r w:rsidRPr="00C94D25">
        <w:rPr>
          <w:rFonts w:ascii="標楷體" w:eastAsia="標楷體" w:hAnsi="標楷體"/>
          <w:sz w:val="28"/>
          <w:szCs w:val="28"/>
        </w:rPr>
        <w:t>、</w:t>
      </w:r>
      <w:r w:rsidRPr="00C94D25">
        <w:rPr>
          <w:rFonts w:ascii="標楷體" w:eastAsia="標楷體" w:hAnsi="標楷體" w:hint="eastAsia"/>
          <w:sz w:val="28"/>
          <w:szCs w:val="28"/>
        </w:rPr>
        <w:t>A單位發現B</w:t>
      </w:r>
      <w:r w:rsidR="00884FE7" w:rsidRPr="00C94D25">
        <w:rPr>
          <w:rFonts w:ascii="標楷體" w:eastAsia="標楷體" w:hAnsi="標楷體" w:hint="eastAsia"/>
          <w:sz w:val="28"/>
          <w:szCs w:val="28"/>
        </w:rPr>
        <w:t>單位</w:t>
      </w:r>
      <w:r w:rsidR="00C01A69" w:rsidRPr="00C94D25">
        <w:rPr>
          <w:rFonts w:ascii="標楷體" w:eastAsia="標楷體" w:hAnsi="標楷體" w:hint="eastAsia"/>
          <w:sz w:val="28"/>
          <w:szCs w:val="28"/>
        </w:rPr>
        <w:t>有下列情事之一者，</w:t>
      </w:r>
      <w:r w:rsidR="00C01A69" w:rsidRPr="00C94D25">
        <w:rPr>
          <w:rFonts w:ascii="標楷體" w:eastAsia="標楷體" w:hAnsi="標楷體"/>
          <w:sz w:val="28"/>
          <w:szCs w:val="28"/>
        </w:rPr>
        <w:t>應即通報本府適時處</w:t>
      </w:r>
      <w:r w:rsidR="00C01A69" w:rsidRPr="00C94D25">
        <w:rPr>
          <w:rFonts w:ascii="標楷體" w:eastAsia="標楷體" w:hAnsi="標楷體" w:hint="eastAsia"/>
          <w:sz w:val="28"/>
          <w:szCs w:val="28"/>
        </w:rPr>
        <w:t>理</w:t>
      </w:r>
      <w:r w:rsidR="00C01A69" w:rsidRPr="00C94D25">
        <w:rPr>
          <w:rFonts w:ascii="標楷體" w:eastAsia="標楷體" w:hAnsi="標楷體"/>
          <w:sz w:val="28"/>
          <w:szCs w:val="28"/>
        </w:rPr>
        <w:t>：</w:t>
      </w:r>
    </w:p>
    <w:p w:rsidR="00C01A69" w:rsidRPr="00C94D25" w:rsidRDefault="00C01A69" w:rsidP="00C01A69">
      <w:pPr>
        <w:spacing w:line="400" w:lineRule="exact"/>
        <w:ind w:leftChars="216" w:left="1078" w:rightChars="-41" w:right="-98" w:hangingChars="200" w:hanging="560"/>
        <w:rPr>
          <w:rFonts w:ascii="標楷體" w:eastAsia="標楷體" w:hAnsi="標楷體"/>
          <w:sz w:val="28"/>
          <w:szCs w:val="28"/>
        </w:rPr>
      </w:pPr>
      <w:r w:rsidRPr="00C94D25">
        <w:rPr>
          <w:rFonts w:ascii="標楷體" w:eastAsia="標楷體" w:hAnsi="標楷體"/>
          <w:sz w:val="28"/>
          <w:szCs w:val="28"/>
        </w:rPr>
        <w:t>(</w:t>
      </w:r>
      <w:r w:rsidRPr="00C94D25">
        <w:rPr>
          <w:rFonts w:ascii="標楷體" w:eastAsia="標楷體" w:hAnsi="標楷體" w:hint="eastAsia"/>
          <w:sz w:val="28"/>
          <w:szCs w:val="28"/>
        </w:rPr>
        <w:t>一)未依給付及支付基準、</w:t>
      </w:r>
      <w:r w:rsidR="00CD03F9" w:rsidRPr="00C94D25">
        <w:rPr>
          <w:rFonts w:ascii="標楷體" w:eastAsia="標楷體" w:hAnsi="標楷體" w:hint="eastAsia"/>
          <w:sz w:val="28"/>
          <w:szCs w:val="28"/>
        </w:rPr>
        <w:t>照顧服務計畫提供服務：長照服務人員未確實到班、核銷申報時數、時間與執行次數不符、未依規定執行服務項目或無提供服務。</w:t>
      </w:r>
    </w:p>
    <w:p w:rsidR="00C01A69" w:rsidRPr="00C94D25" w:rsidRDefault="00C01A69" w:rsidP="00C01A69">
      <w:pPr>
        <w:spacing w:line="400" w:lineRule="exact"/>
        <w:ind w:leftChars="216" w:left="1078" w:rightChars="-41" w:right="-98" w:hangingChars="200" w:hanging="560"/>
        <w:rPr>
          <w:rFonts w:ascii="標楷體" w:eastAsia="標楷體" w:hAnsi="標楷體"/>
          <w:sz w:val="28"/>
          <w:szCs w:val="28"/>
        </w:rPr>
      </w:pPr>
      <w:r w:rsidRPr="00C94D25">
        <w:rPr>
          <w:rFonts w:ascii="標楷體" w:eastAsia="標楷體" w:hAnsi="標楷體"/>
          <w:sz w:val="28"/>
          <w:szCs w:val="28"/>
        </w:rPr>
        <w:lastRenderedPageBreak/>
        <w:t>(</w:t>
      </w:r>
      <w:r w:rsidRPr="00C94D25">
        <w:rPr>
          <w:rFonts w:ascii="標楷體" w:eastAsia="標楷體" w:hAnsi="標楷體" w:hint="eastAsia"/>
          <w:sz w:val="28"/>
          <w:szCs w:val="28"/>
        </w:rPr>
        <w:t>二)</w:t>
      </w:r>
      <w:r w:rsidR="00CD03F9" w:rsidRPr="00C94D25">
        <w:rPr>
          <w:rFonts w:ascii="標楷體" w:eastAsia="標楷體" w:hAnsi="標楷體" w:hint="eastAsia"/>
          <w:sz w:val="28"/>
          <w:szCs w:val="28"/>
        </w:rPr>
        <w:t>個案滿意度低：個案認為長照服務人員所提供之服務無法滿足案家需求與合理期待、個案反映服務狀況不佳。</w:t>
      </w:r>
    </w:p>
    <w:p w:rsidR="00C01A69" w:rsidRPr="00C94D25" w:rsidRDefault="00C01A69" w:rsidP="00C01A69">
      <w:pPr>
        <w:spacing w:line="400" w:lineRule="exact"/>
        <w:ind w:leftChars="216" w:left="1078" w:rightChars="-41" w:right="-98" w:hangingChars="200" w:hanging="560"/>
        <w:rPr>
          <w:rFonts w:ascii="標楷體" w:eastAsia="標楷體" w:hAnsi="標楷體"/>
          <w:sz w:val="28"/>
          <w:szCs w:val="28"/>
        </w:rPr>
      </w:pPr>
      <w:r w:rsidRPr="00C94D25">
        <w:rPr>
          <w:rFonts w:ascii="標楷體" w:eastAsia="標楷體" w:hAnsi="標楷體"/>
          <w:sz w:val="28"/>
          <w:szCs w:val="28"/>
        </w:rPr>
        <w:t>(</w:t>
      </w:r>
      <w:r w:rsidRPr="00C94D25">
        <w:rPr>
          <w:rFonts w:ascii="標楷體" w:eastAsia="標楷體" w:hAnsi="標楷體" w:hint="eastAsia"/>
          <w:sz w:val="28"/>
          <w:szCs w:val="28"/>
        </w:rPr>
        <w:t>三)</w:t>
      </w:r>
      <w:r w:rsidR="00CD03F9" w:rsidRPr="00C94D25">
        <w:rPr>
          <w:rFonts w:ascii="標楷體" w:eastAsia="標楷體" w:hAnsi="標楷體" w:hint="eastAsia"/>
          <w:sz w:val="28"/>
          <w:szCs w:val="28"/>
        </w:rPr>
        <w:t>服務提供不佳：接獲個案或民眾申訴經勸說後仍未改善、接案後達一個月以上未提供服務。</w:t>
      </w:r>
    </w:p>
    <w:p w:rsidR="00CD03F9" w:rsidRPr="00C94D25" w:rsidRDefault="00C01A69" w:rsidP="00C01A69">
      <w:pPr>
        <w:spacing w:line="400" w:lineRule="exact"/>
        <w:ind w:leftChars="216" w:left="1078" w:rightChars="-41" w:right="-98" w:hangingChars="200" w:hanging="560"/>
        <w:rPr>
          <w:rFonts w:ascii="標楷體" w:eastAsia="標楷體" w:hAnsi="標楷體"/>
          <w:sz w:val="28"/>
          <w:szCs w:val="28"/>
        </w:rPr>
      </w:pPr>
      <w:r w:rsidRPr="00C94D25">
        <w:rPr>
          <w:rFonts w:ascii="標楷體" w:eastAsia="標楷體" w:hAnsi="標楷體" w:hint="eastAsia"/>
          <w:sz w:val="28"/>
          <w:szCs w:val="28"/>
        </w:rPr>
        <w:t>(四)</w:t>
      </w:r>
      <w:r w:rsidR="00CD03F9" w:rsidRPr="00C94D25">
        <w:rPr>
          <w:rFonts w:ascii="標楷體" w:eastAsia="標楷體" w:hAnsi="標楷體" w:hint="eastAsia"/>
          <w:sz w:val="28"/>
          <w:szCs w:val="28"/>
        </w:rPr>
        <w:t>專業技能不佳：長照服務人員專業技能不佳。</w:t>
      </w:r>
    </w:p>
    <w:p w:rsidR="00CD03F9" w:rsidRPr="00C94D25" w:rsidRDefault="00C01A69" w:rsidP="00C01A69">
      <w:pPr>
        <w:spacing w:line="400" w:lineRule="exact"/>
        <w:ind w:rightChars="-41" w:right="-98" w:firstLineChars="200" w:firstLine="560"/>
        <w:rPr>
          <w:rFonts w:ascii="標楷體" w:eastAsia="標楷體" w:hAnsi="標楷體"/>
          <w:sz w:val="28"/>
          <w:szCs w:val="28"/>
        </w:rPr>
      </w:pPr>
      <w:r w:rsidRPr="00C94D25">
        <w:rPr>
          <w:rFonts w:ascii="標楷體" w:eastAsia="標楷體" w:hAnsi="標楷體" w:hint="eastAsia"/>
          <w:sz w:val="28"/>
          <w:szCs w:val="28"/>
        </w:rPr>
        <w:t>前項</w:t>
      </w:r>
      <w:r w:rsidRPr="00C94D25">
        <w:rPr>
          <w:rFonts w:ascii="標楷體" w:eastAsia="標楷體" w:hAnsi="標楷體"/>
          <w:sz w:val="28"/>
          <w:szCs w:val="28"/>
        </w:rPr>
        <w:t>各款之處理原則如下：</w:t>
      </w:r>
    </w:p>
    <w:p w:rsidR="00CD03F9" w:rsidRPr="00C94D25" w:rsidRDefault="00C01A69" w:rsidP="00C01A69">
      <w:pPr>
        <w:spacing w:line="400" w:lineRule="exact"/>
        <w:ind w:leftChars="216" w:left="1078" w:rightChars="-41" w:right="-98" w:hangingChars="200" w:hanging="560"/>
        <w:rPr>
          <w:rFonts w:ascii="標楷體" w:eastAsia="標楷體" w:hAnsi="標楷體"/>
          <w:sz w:val="28"/>
          <w:szCs w:val="28"/>
        </w:rPr>
      </w:pPr>
      <w:r w:rsidRPr="00C94D25">
        <w:rPr>
          <w:rFonts w:ascii="標楷體" w:eastAsia="標楷體" w:hAnsi="標楷體"/>
          <w:sz w:val="28"/>
          <w:szCs w:val="28"/>
        </w:rPr>
        <w:t>(</w:t>
      </w:r>
      <w:r w:rsidRPr="00C94D25">
        <w:rPr>
          <w:rFonts w:ascii="標楷體" w:eastAsia="標楷體" w:hAnsi="標楷體" w:hint="eastAsia"/>
          <w:sz w:val="28"/>
          <w:szCs w:val="28"/>
        </w:rPr>
        <w:t>一)</w:t>
      </w:r>
      <w:r w:rsidR="00884FE7" w:rsidRPr="00C94D25">
        <w:rPr>
          <w:rFonts w:ascii="標楷體" w:eastAsia="標楷體" w:hAnsi="標楷體" w:hint="eastAsia"/>
          <w:sz w:val="28"/>
          <w:szCs w:val="28"/>
        </w:rPr>
        <w:t>經查證</w:t>
      </w:r>
      <w:r w:rsidR="00CD03F9" w:rsidRPr="00C94D25">
        <w:rPr>
          <w:rFonts w:ascii="標楷體" w:eastAsia="標楷體" w:hAnsi="標楷體" w:hint="eastAsia"/>
          <w:sz w:val="28"/>
          <w:szCs w:val="28"/>
        </w:rPr>
        <w:t>屬實，由本府依法追償外，B單位應提出改善方案予本府，經查改善無效將列為本府特約之參據。</w:t>
      </w:r>
    </w:p>
    <w:p w:rsidR="00CD03F9" w:rsidRPr="00C94D25" w:rsidRDefault="00C01A69" w:rsidP="00C01A69">
      <w:pPr>
        <w:spacing w:line="400" w:lineRule="exact"/>
        <w:ind w:leftChars="216" w:left="1078" w:rightChars="-41" w:right="-98" w:hangingChars="200" w:hanging="560"/>
        <w:rPr>
          <w:rFonts w:ascii="標楷體" w:eastAsia="標楷體" w:hAnsi="標楷體"/>
          <w:sz w:val="28"/>
          <w:szCs w:val="28"/>
        </w:rPr>
      </w:pPr>
      <w:r w:rsidRPr="00C94D25">
        <w:rPr>
          <w:rFonts w:ascii="標楷體" w:eastAsia="標楷體" w:hAnsi="標楷體"/>
          <w:sz w:val="28"/>
          <w:szCs w:val="28"/>
        </w:rPr>
        <w:t>(</w:t>
      </w:r>
      <w:r w:rsidRPr="00C94D25">
        <w:rPr>
          <w:rFonts w:ascii="標楷體" w:eastAsia="標楷體" w:hAnsi="標楷體" w:hint="eastAsia"/>
          <w:sz w:val="28"/>
          <w:szCs w:val="28"/>
        </w:rPr>
        <w:t>二)</w:t>
      </w:r>
      <w:r w:rsidR="00CD03F9" w:rsidRPr="00C94D25">
        <w:rPr>
          <w:rFonts w:ascii="標楷體" w:eastAsia="標楷體" w:hAnsi="標楷體" w:hint="eastAsia"/>
          <w:sz w:val="28"/>
          <w:szCs w:val="28"/>
        </w:rPr>
        <w:t>A單位與個案及B單位溝通後暫停服務，依前點舊案改派原則辦理。</w:t>
      </w:r>
    </w:p>
    <w:p w:rsidR="00CD03F9" w:rsidRPr="00C94D25" w:rsidRDefault="00CD03F9" w:rsidP="00873793">
      <w:pPr>
        <w:spacing w:line="400" w:lineRule="exact"/>
        <w:ind w:left="560" w:rightChars="-41" w:right="-98" w:hangingChars="200" w:hanging="560"/>
        <w:rPr>
          <w:rFonts w:ascii="標楷體" w:eastAsia="標楷體" w:hAnsi="標楷體" w:cstheme="minorBidi"/>
          <w:sz w:val="28"/>
          <w:szCs w:val="28"/>
        </w:rPr>
      </w:pPr>
      <w:r w:rsidRPr="00C94D25">
        <w:rPr>
          <w:rFonts w:ascii="標楷體" w:eastAsia="標楷體" w:hAnsi="標楷體" w:cstheme="minorBidi" w:hint="eastAsia"/>
          <w:sz w:val="28"/>
          <w:szCs w:val="28"/>
        </w:rPr>
        <w:t>五</w:t>
      </w:r>
      <w:r w:rsidRPr="00C94D25">
        <w:rPr>
          <w:rFonts w:ascii="標楷體" w:eastAsia="標楷體" w:hAnsi="標楷體" w:cstheme="minorBidi"/>
          <w:sz w:val="28"/>
          <w:szCs w:val="28"/>
        </w:rPr>
        <w:t>、</w:t>
      </w:r>
      <w:r w:rsidRPr="00C94D25">
        <w:rPr>
          <w:rFonts w:ascii="標楷體" w:eastAsia="標楷體" w:hAnsi="標楷體" w:cstheme="minorBidi" w:hint="eastAsia"/>
          <w:spacing w:val="4"/>
          <w:kern w:val="0"/>
          <w:sz w:val="28"/>
          <w:szCs w:val="28"/>
        </w:rPr>
        <w:t>A單位應建立對B單位服務品質追蹤或督導機制報本府備查，倘B單位經多次溝通或勸導未果，應報本府處理，並列入未來A單位與B單位合作延續及與本府特約之參據。</w:t>
      </w:r>
    </w:p>
    <w:p w:rsidR="00CD03F9" w:rsidRPr="00C94D25" w:rsidRDefault="00CD03F9" w:rsidP="00873793">
      <w:pPr>
        <w:spacing w:line="400" w:lineRule="exact"/>
        <w:ind w:left="560" w:rightChars="-41" w:right="-98" w:hangingChars="200" w:hanging="560"/>
        <w:rPr>
          <w:rFonts w:ascii="新細明體" w:hAnsi="新細明體" w:cstheme="minorBidi"/>
          <w:sz w:val="28"/>
          <w:szCs w:val="28"/>
        </w:rPr>
      </w:pPr>
      <w:r w:rsidRPr="00C94D25">
        <w:rPr>
          <w:rFonts w:ascii="標楷體" w:eastAsia="標楷體" w:hAnsi="標楷體" w:cstheme="minorBidi" w:hint="eastAsia"/>
          <w:sz w:val="28"/>
          <w:szCs w:val="28"/>
        </w:rPr>
        <w:t>六</w:t>
      </w:r>
      <w:r w:rsidRPr="00C94D25">
        <w:rPr>
          <w:rFonts w:ascii="新細明體" w:hAnsi="新細明體" w:cstheme="minorBidi" w:hint="eastAsia"/>
          <w:sz w:val="28"/>
          <w:szCs w:val="28"/>
        </w:rPr>
        <w:t>、</w:t>
      </w:r>
      <w:r w:rsidRPr="00C94D25">
        <w:rPr>
          <w:rFonts w:ascii="標楷體" w:eastAsia="標楷體" w:hAnsi="標楷體" w:cstheme="minorBidi" w:hint="eastAsia"/>
          <w:sz w:val="28"/>
          <w:szCs w:val="28"/>
        </w:rPr>
        <w:t>A單</w:t>
      </w:r>
      <w:r w:rsidRPr="00C94D25">
        <w:rPr>
          <w:rFonts w:ascii="標楷體" w:eastAsia="標楷體" w:hAnsi="標楷體" w:cstheme="minorBidi"/>
          <w:sz w:val="28"/>
          <w:szCs w:val="28"/>
        </w:rPr>
        <w:t>位</w:t>
      </w:r>
      <w:r w:rsidRPr="00C94D25">
        <w:rPr>
          <w:rFonts w:ascii="標楷體" w:eastAsia="標楷體" w:hAnsi="標楷體" w:cstheme="minorBidi" w:hint="eastAsia"/>
          <w:sz w:val="28"/>
          <w:szCs w:val="28"/>
        </w:rPr>
        <w:t>派案應留有紀錄</w:t>
      </w:r>
      <w:r w:rsidRPr="00C94D25">
        <w:rPr>
          <w:rFonts w:ascii="新細明體" w:hAnsi="新細明體" w:cstheme="minorBidi" w:hint="eastAsia"/>
          <w:sz w:val="28"/>
          <w:szCs w:val="28"/>
        </w:rPr>
        <w:t>，</w:t>
      </w:r>
      <w:r w:rsidRPr="00C94D25">
        <w:rPr>
          <w:rFonts w:ascii="標楷體" w:eastAsia="標楷體" w:hAnsi="標楷體" w:cstheme="minorBidi" w:hint="eastAsia"/>
          <w:sz w:val="28"/>
          <w:szCs w:val="28"/>
        </w:rPr>
        <w:t>必要時供本府調閱</w:t>
      </w:r>
      <w:r w:rsidRPr="00C94D25">
        <w:rPr>
          <w:rFonts w:ascii="新細明體" w:hAnsi="新細明體" w:cstheme="minorBidi" w:hint="eastAsia"/>
          <w:sz w:val="28"/>
          <w:szCs w:val="28"/>
        </w:rPr>
        <w:t>。</w:t>
      </w:r>
    </w:p>
    <w:p w:rsidR="00CD03F9" w:rsidRPr="00C94D25" w:rsidRDefault="00CD03F9" w:rsidP="00873793">
      <w:pPr>
        <w:spacing w:line="400" w:lineRule="exact"/>
        <w:ind w:left="560" w:rightChars="-41" w:right="-98" w:hangingChars="200" w:hanging="560"/>
        <w:rPr>
          <w:rFonts w:ascii="標楷體" w:eastAsia="標楷體" w:hAnsi="標楷體" w:cstheme="minorBidi"/>
          <w:sz w:val="28"/>
          <w:szCs w:val="28"/>
        </w:rPr>
      </w:pPr>
      <w:r w:rsidRPr="00C94D25">
        <w:rPr>
          <w:rFonts w:ascii="標楷體" w:eastAsia="標楷體" w:hAnsi="標楷體" w:cstheme="minorBidi" w:hint="eastAsia"/>
          <w:sz w:val="28"/>
          <w:szCs w:val="28"/>
        </w:rPr>
        <w:t>七、A單位不得圖利特定B單位，亦不能向B單位收取任何形式費用(例如：抽成費、派案費、管理費等)，若違規且經本府查證屬實者，本府將停止與該A單位特約，倘涉及刑事責任，將移送司法機關偵辦。</w:t>
      </w:r>
    </w:p>
    <w:p w:rsidR="00CD03F9" w:rsidRPr="00C94D25" w:rsidRDefault="00CD03F9" w:rsidP="00873793">
      <w:pPr>
        <w:spacing w:line="400" w:lineRule="exact"/>
        <w:ind w:left="560" w:rightChars="-41" w:right="-98" w:hangingChars="200" w:hanging="560"/>
        <w:rPr>
          <w:rFonts w:ascii="標楷體" w:eastAsia="標楷體" w:hAnsi="標楷體" w:cstheme="minorBidi"/>
          <w:sz w:val="28"/>
          <w:szCs w:val="28"/>
        </w:rPr>
      </w:pPr>
      <w:r w:rsidRPr="00C94D25">
        <w:rPr>
          <w:rFonts w:ascii="標楷體" w:eastAsia="標楷體" w:hAnsi="標楷體" w:cstheme="minorBidi" w:hint="eastAsia"/>
          <w:sz w:val="28"/>
          <w:szCs w:val="28"/>
        </w:rPr>
        <w:t>八、為加強A單位派案予B單位之資訊透明化，A單位應於每月</w:t>
      </w:r>
      <w:r w:rsidR="00884FE7" w:rsidRPr="00C94D25">
        <w:rPr>
          <w:rFonts w:ascii="標楷體" w:eastAsia="標楷體" w:hAnsi="標楷體" w:cstheme="minorBidi" w:hint="eastAsia"/>
          <w:sz w:val="28"/>
          <w:szCs w:val="28"/>
        </w:rPr>
        <w:t>十</w:t>
      </w:r>
      <w:r w:rsidR="00342D5B" w:rsidRPr="00C94D25">
        <w:rPr>
          <w:rFonts w:ascii="標楷體" w:eastAsia="標楷體" w:hAnsi="標楷體" w:cstheme="minorBidi" w:hint="eastAsia"/>
          <w:sz w:val="28"/>
          <w:szCs w:val="28"/>
        </w:rPr>
        <w:t>日</w:t>
      </w:r>
      <w:r w:rsidRPr="00C94D25">
        <w:rPr>
          <w:rFonts w:ascii="標楷體" w:eastAsia="標楷體" w:hAnsi="標楷體" w:cstheme="minorBidi" w:hint="eastAsia"/>
          <w:sz w:val="28"/>
          <w:szCs w:val="28"/>
        </w:rPr>
        <w:t>前提供派案及B單位拒案數據，由本府定期公告於社會及勞動處網站。</w:t>
      </w:r>
    </w:p>
    <w:bookmarkEnd w:id="0"/>
    <w:p w:rsidR="00695936" w:rsidRPr="00C94D25" w:rsidRDefault="00695936" w:rsidP="00CD03F9"/>
    <w:sectPr w:rsidR="00695936" w:rsidRPr="00C94D25" w:rsidSect="00414B1C">
      <w:footerReference w:type="default" r:id="rId8"/>
      <w:pgSz w:w="11906" w:h="16838"/>
      <w:pgMar w:top="993" w:right="1558" w:bottom="851" w:left="180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0B5" w:rsidRDefault="008B10B5" w:rsidP="00AA5818">
      <w:r>
        <w:separator/>
      </w:r>
    </w:p>
  </w:endnote>
  <w:endnote w:type="continuationSeparator" w:id="0">
    <w:p w:rsidR="008B10B5" w:rsidRDefault="008B10B5" w:rsidP="00AA5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0594935"/>
      <w:docPartObj>
        <w:docPartGallery w:val="Page Numbers (Bottom of Page)"/>
        <w:docPartUnique/>
      </w:docPartObj>
    </w:sdtPr>
    <w:sdtEndPr/>
    <w:sdtContent>
      <w:p w:rsidR="00AA5818" w:rsidRDefault="00AA581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4D25" w:rsidRPr="00C94D25">
          <w:rPr>
            <w:noProof/>
            <w:lang w:val="zh-TW"/>
          </w:rPr>
          <w:t>2</w:t>
        </w:r>
        <w:r>
          <w:fldChar w:fldCharType="end"/>
        </w:r>
      </w:p>
    </w:sdtContent>
  </w:sdt>
  <w:p w:rsidR="00AA5818" w:rsidRDefault="00AA581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0B5" w:rsidRDefault="008B10B5" w:rsidP="00AA5818">
      <w:r>
        <w:separator/>
      </w:r>
    </w:p>
  </w:footnote>
  <w:footnote w:type="continuationSeparator" w:id="0">
    <w:p w:rsidR="008B10B5" w:rsidRDefault="008B10B5" w:rsidP="00AA5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8756BA"/>
    <w:multiLevelType w:val="hybridMultilevel"/>
    <w:tmpl w:val="DA30EA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6D9449D"/>
    <w:multiLevelType w:val="hybridMultilevel"/>
    <w:tmpl w:val="E27A0A68"/>
    <w:lvl w:ilvl="0" w:tplc="B1267472">
      <w:start w:val="1"/>
      <w:numFmt w:val="taiwaneseCountingThousand"/>
      <w:lvlText w:val="%1、"/>
      <w:lvlJc w:val="left"/>
      <w:pPr>
        <w:tabs>
          <w:tab w:val="num" w:pos="1565"/>
        </w:tabs>
        <w:ind w:left="1565" w:hanging="855"/>
      </w:pPr>
      <w:rPr>
        <w:rFonts w:ascii="標楷體" w:eastAsia="標楷體" w:hAnsi="標楷體" w:cs="Times New Roman"/>
        <w:lang w:val="en-US"/>
      </w:rPr>
    </w:lvl>
    <w:lvl w:ilvl="1" w:tplc="44D4F84E">
      <w:start w:val="1"/>
      <w:numFmt w:val="decimal"/>
      <w:lvlText w:val="(%2)"/>
      <w:lvlJc w:val="left"/>
      <w:pPr>
        <w:tabs>
          <w:tab w:val="num" w:pos="3817"/>
        </w:tabs>
        <w:ind w:left="3817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417"/>
        </w:tabs>
        <w:ind w:left="441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897"/>
        </w:tabs>
        <w:ind w:left="489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5377"/>
        </w:tabs>
        <w:ind w:left="537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857"/>
        </w:tabs>
        <w:ind w:left="585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337"/>
        </w:tabs>
        <w:ind w:left="633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6817"/>
        </w:tabs>
        <w:ind w:left="681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97"/>
        </w:tabs>
        <w:ind w:left="7297" w:hanging="480"/>
      </w:pPr>
      <w:rPr>
        <w:rFonts w:cs="Times New Roman"/>
      </w:rPr>
    </w:lvl>
  </w:abstractNum>
  <w:abstractNum w:abstractNumId="2" w15:restartNumberingAfterBreak="0">
    <w:nsid w:val="783E2AF8"/>
    <w:multiLevelType w:val="hybridMultilevel"/>
    <w:tmpl w:val="40BA83EC"/>
    <w:lvl w:ilvl="0" w:tplc="ECAC1CA4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32D"/>
    <w:rsid w:val="00015EA5"/>
    <w:rsid w:val="000416DF"/>
    <w:rsid w:val="000677FA"/>
    <w:rsid w:val="000704A2"/>
    <w:rsid w:val="00080A3C"/>
    <w:rsid w:val="000825BB"/>
    <w:rsid w:val="000B405B"/>
    <w:rsid w:val="000C1433"/>
    <w:rsid w:val="000C745E"/>
    <w:rsid w:val="000D2C44"/>
    <w:rsid w:val="000E550D"/>
    <w:rsid w:val="000E5774"/>
    <w:rsid w:val="000E78A3"/>
    <w:rsid w:val="000E7FE5"/>
    <w:rsid w:val="00111028"/>
    <w:rsid w:val="00126419"/>
    <w:rsid w:val="00156135"/>
    <w:rsid w:val="0016123E"/>
    <w:rsid w:val="001807B1"/>
    <w:rsid w:val="0018253D"/>
    <w:rsid w:val="00184A7A"/>
    <w:rsid w:val="0019155E"/>
    <w:rsid w:val="001A1499"/>
    <w:rsid w:val="001B312A"/>
    <w:rsid w:val="001E081B"/>
    <w:rsid w:val="001F2A48"/>
    <w:rsid w:val="001F5AAB"/>
    <w:rsid w:val="002241EA"/>
    <w:rsid w:val="0023540C"/>
    <w:rsid w:val="00243CCC"/>
    <w:rsid w:val="00255647"/>
    <w:rsid w:val="00273459"/>
    <w:rsid w:val="0027559C"/>
    <w:rsid w:val="002A3528"/>
    <w:rsid w:val="002B303F"/>
    <w:rsid w:val="002E1DE2"/>
    <w:rsid w:val="002E6E80"/>
    <w:rsid w:val="002F29EF"/>
    <w:rsid w:val="002F5C15"/>
    <w:rsid w:val="0033282A"/>
    <w:rsid w:val="00342D5B"/>
    <w:rsid w:val="00346358"/>
    <w:rsid w:val="003505D0"/>
    <w:rsid w:val="00351E63"/>
    <w:rsid w:val="003549DA"/>
    <w:rsid w:val="00373133"/>
    <w:rsid w:val="00374B91"/>
    <w:rsid w:val="00392AB9"/>
    <w:rsid w:val="003A460E"/>
    <w:rsid w:val="003B3381"/>
    <w:rsid w:val="003C10D7"/>
    <w:rsid w:val="003C4200"/>
    <w:rsid w:val="003D0040"/>
    <w:rsid w:val="003E1C9C"/>
    <w:rsid w:val="003E2DC1"/>
    <w:rsid w:val="003E6322"/>
    <w:rsid w:val="003F4121"/>
    <w:rsid w:val="00401A90"/>
    <w:rsid w:val="00403022"/>
    <w:rsid w:val="0040726C"/>
    <w:rsid w:val="00414B1C"/>
    <w:rsid w:val="00415388"/>
    <w:rsid w:val="00424269"/>
    <w:rsid w:val="00441E2D"/>
    <w:rsid w:val="00452998"/>
    <w:rsid w:val="00455EC3"/>
    <w:rsid w:val="004570C2"/>
    <w:rsid w:val="004613F9"/>
    <w:rsid w:val="00464F9C"/>
    <w:rsid w:val="00476016"/>
    <w:rsid w:val="00481CA8"/>
    <w:rsid w:val="00486F78"/>
    <w:rsid w:val="004B6802"/>
    <w:rsid w:val="004D1457"/>
    <w:rsid w:val="004D77EA"/>
    <w:rsid w:val="004F727F"/>
    <w:rsid w:val="005167E5"/>
    <w:rsid w:val="00523581"/>
    <w:rsid w:val="00524A82"/>
    <w:rsid w:val="00527795"/>
    <w:rsid w:val="0055085D"/>
    <w:rsid w:val="00562AE9"/>
    <w:rsid w:val="00580A23"/>
    <w:rsid w:val="00580F6E"/>
    <w:rsid w:val="00581002"/>
    <w:rsid w:val="00582BF9"/>
    <w:rsid w:val="00584E52"/>
    <w:rsid w:val="00586568"/>
    <w:rsid w:val="005A0965"/>
    <w:rsid w:val="005A3F8B"/>
    <w:rsid w:val="005E6BC6"/>
    <w:rsid w:val="00605182"/>
    <w:rsid w:val="00615177"/>
    <w:rsid w:val="00624FE4"/>
    <w:rsid w:val="00647596"/>
    <w:rsid w:val="00655583"/>
    <w:rsid w:val="00664257"/>
    <w:rsid w:val="006751DA"/>
    <w:rsid w:val="006839EC"/>
    <w:rsid w:val="00695936"/>
    <w:rsid w:val="006A3C7B"/>
    <w:rsid w:val="006B583A"/>
    <w:rsid w:val="006B7AC6"/>
    <w:rsid w:val="006C2A80"/>
    <w:rsid w:val="006D4EDC"/>
    <w:rsid w:val="006E523D"/>
    <w:rsid w:val="006E6D32"/>
    <w:rsid w:val="0071196D"/>
    <w:rsid w:val="0071448A"/>
    <w:rsid w:val="007200EA"/>
    <w:rsid w:val="00764DEE"/>
    <w:rsid w:val="00764E1D"/>
    <w:rsid w:val="007753B6"/>
    <w:rsid w:val="00776D47"/>
    <w:rsid w:val="00777973"/>
    <w:rsid w:val="00786BB4"/>
    <w:rsid w:val="007945A0"/>
    <w:rsid w:val="00796EC9"/>
    <w:rsid w:val="007A1467"/>
    <w:rsid w:val="007A2205"/>
    <w:rsid w:val="007A6031"/>
    <w:rsid w:val="007B51A4"/>
    <w:rsid w:val="007B7BD1"/>
    <w:rsid w:val="007C2B5F"/>
    <w:rsid w:val="007E13AA"/>
    <w:rsid w:val="007E1788"/>
    <w:rsid w:val="007E22CB"/>
    <w:rsid w:val="007E6DD5"/>
    <w:rsid w:val="007E7CA4"/>
    <w:rsid w:val="007F579B"/>
    <w:rsid w:val="0081449C"/>
    <w:rsid w:val="008373AB"/>
    <w:rsid w:val="008378B9"/>
    <w:rsid w:val="00873793"/>
    <w:rsid w:val="00875EF5"/>
    <w:rsid w:val="00880F97"/>
    <w:rsid w:val="00884FE7"/>
    <w:rsid w:val="00885EF6"/>
    <w:rsid w:val="00892E31"/>
    <w:rsid w:val="008A4FA5"/>
    <w:rsid w:val="008A5A5E"/>
    <w:rsid w:val="008B10B5"/>
    <w:rsid w:val="008B634C"/>
    <w:rsid w:val="008B65F4"/>
    <w:rsid w:val="008E27E1"/>
    <w:rsid w:val="008F0F8D"/>
    <w:rsid w:val="008F46C1"/>
    <w:rsid w:val="00902A46"/>
    <w:rsid w:val="00903E13"/>
    <w:rsid w:val="00906525"/>
    <w:rsid w:val="00932F27"/>
    <w:rsid w:val="00933025"/>
    <w:rsid w:val="00953A5B"/>
    <w:rsid w:val="00955622"/>
    <w:rsid w:val="0096021E"/>
    <w:rsid w:val="009B3490"/>
    <w:rsid w:val="009B65C6"/>
    <w:rsid w:val="009C0676"/>
    <w:rsid w:val="009D193E"/>
    <w:rsid w:val="00A0392B"/>
    <w:rsid w:val="00A43B25"/>
    <w:rsid w:val="00A450FD"/>
    <w:rsid w:val="00A723FB"/>
    <w:rsid w:val="00A7618D"/>
    <w:rsid w:val="00A7729C"/>
    <w:rsid w:val="00AA1BD3"/>
    <w:rsid w:val="00AA5818"/>
    <w:rsid w:val="00AC3652"/>
    <w:rsid w:val="00AD1056"/>
    <w:rsid w:val="00AD1F29"/>
    <w:rsid w:val="00AD3075"/>
    <w:rsid w:val="00AD43E6"/>
    <w:rsid w:val="00AD52CF"/>
    <w:rsid w:val="00AE0A6F"/>
    <w:rsid w:val="00AF332D"/>
    <w:rsid w:val="00AF7B9C"/>
    <w:rsid w:val="00B17358"/>
    <w:rsid w:val="00B21789"/>
    <w:rsid w:val="00B21F5D"/>
    <w:rsid w:val="00B26ECE"/>
    <w:rsid w:val="00B33704"/>
    <w:rsid w:val="00B347F3"/>
    <w:rsid w:val="00B512FF"/>
    <w:rsid w:val="00B52626"/>
    <w:rsid w:val="00B57EB6"/>
    <w:rsid w:val="00B636E5"/>
    <w:rsid w:val="00B67E1A"/>
    <w:rsid w:val="00B74C0D"/>
    <w:rsid w:val="00B82A76"/>
    <w:rsid w:val="00B859AA"/>
    <w:rsid w:val="00B87C84"/>
    <w:rsid w:val="00B938B6"/>
    <w:rsid w:val="00B96C45"/>
    <w:rsid w:val="00BA664E"/>
    <w:rsid w:val="00BE1FF6"/>
    <w:rsid w:val="00BE48CA"/>
    <w:rsid w:val="00C01A69"/>
    <w:rsid w:val="00C17CB2"/>
    <w:rsid w:val="00C22B15"/>
    <w:rsid w:val="00C62CD0"/>
    <w:rsid w:val="00C70208"/>
    <w:rsid w:val="00C8390A"/>
    <w:rsid w:val="00C94D25"/>
    <w:rsid w:val="00CB11E3"/>
    <w:rsid w:val="00CD03F9"/>
    <w:rsid w:val="00CE6C12"/>
    <w:rsid w:val="00CF209B"/>
    <w:rsid w:val="00D077F0"/>
    <w:rsid w:val="00D11B01"/>
    <w:rsid w:val="00D334FE"/>
    <w:rsid w:val="00D35F65"/>
    <w:rsid w:val="00D8194A"/>
    <w:rsid w:val="00D86359"/>
    <w:rsid w:val="00D86C8D"/>
    <w:rsid w:val="00D96137"/>
    <w:rsid w:val="00DB3DB2"/>
    <w:rsid w:val="00DB410F"/>
    <w:rsid w:val="00DB4E0B"/>
    <w:rsid w:val="00DD2D29"/>
    <w:rsid w:val="00DD3D2F"/>
    <w:rsid w:val="00DF4CC7"/>
    <w:rsid w:val="00E00871"/>
    <w:rsid w:val="00E279BE"/>
    <w:rsid w:val="00E43316"/>
    <w:rsid w:val="00E45252"/>
    <w:rsid w:val="00E528EE"/>
    <w:rsid w:val="00E545A3"/>
    <w:rsid w:val="00E60B73"/>
    <w:rsid w:val="00E737CF"/>
    <w:rsid w:val="00E75BA7"/>
    <w:rsid w:val="00E76766"/>
    <w:rsid w:val="00E80724"/>
    <w:rsid w:val="00EA3264"/>
    <w:rsid w:val="00EA3298"/>
    <w:rsid w:val="00EB0A06"/>
    <w:rsid w:val="00EB66AD"/>
    <w:rsid w:val="00EC1E8D"/>
    <w:rsid w:val="00ED1185"/>
    <w:rsid w:val="00EE30FF"/>
    <w:rsid w:val="00EE5150"/>
    <w:rsid w:val="00F079DF"/>
    <w:rsid w:val="00F14239"/>
    <w:rsid w:val="00F3153B"/>
    <w:rsid w:val="00F32A43"/>
    <w:rsid w:val="00F40C15"/>
    <w:rsid w:val="00F51313"/>
    <w:rsid w:val="00F518FD"/>
    <w:rsid w:val="00F60F93"/>
    <w:rsid w:val="00F65DCA"/>
    <w:rsid w:val="00F72078"/>
    <w:rsid w:val="00F75104"/>
    <w:rsid w:val="00F76FC7"/>
    <w:rsid w:val="00F80BE8"/>
    <w:rsid w:val="00F9591F"/>
    <w:rsid w:val="00F978A5"/>
    <w:rsid w:val="00FA6328"/>
    <w:rsid w:val="00FB49F2"/>
    <w:rsid w:val="00FB6972"/>
    <w:rsid w:val="00FB7315"/>
    <w:rsid w:val="00FC2574"/>
    <w:rsid w:val="00FD01B9"/>
    <w:rsid w:val="00FD4D4F"/>
    <w:rsid w:val="00FE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8999CE-EA47-4E66-BB16-186477DF9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32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,List Paragraph"/>
    <w:basedOn w:val="a"/>
    <w:link w:val="a4"/>
    <w:uiPriority w:val="34"/>
    <w:qFormat/>
    <w:rsid w:val="00AF332D"/>
    <w:pPr>
      <w:ind w:leftChars="200" w:left="480"/>
    </w:pPr>
  </w:style>
  <w:style w:type="character" w:customStyle="1" w:styleId="a4">
    <w:name w:val="清單段落 字元"/>
    <w:aliases w:val="卑南壹 字元,List Paragraph 字元"/>
    <w:link w:val="a3"/>
    <w:uiPriority w:val="34"/>
    <w:locked/>
    <w:rsid w:val="00AF332D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6E523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5">
    <w:name w:val="Plain Text"/>
    <w:basedOn w:val="a"/>
    <w:link w:val="a6"/>
    <w:uiPriority w:val="99"/>
    <w:unhideWhenUsed/>
    <w:rsid w:val="00AF7B9C"/>
    <w:rPr>
      <w:rFonts w:ascii="Calibri" w:hAnsi="Courier New" w:cs="Courier New"/>
    </w:rPr>
  </w:style>
  <w:style w:type="character" w:customStyle="1" w:styleId="a6">
    <w:name w:val="純文字 字元"/>
    <w:basedOn w:val="a0"/>
    <w:link w:val="a5"/>
    <w:uiPriority w:val="99"/>
    <w:rsid w:val="00AF7B9C"/>
    <w:rPr>
      <w:rFonts w:ascii="Calibri" w:eastAsia="新細明體" w:hAnsi="Courier New" w:cs="Courier New"/>
      <w:szCs w:val="24"/>
    </w:rPr>
  </w:style>
  <w:style w:type="paragraph" w:styleId="a7">
    <w:name w:val="header"/>
    <w:basedOn w:val="a"/>
    <w:link w:val="a8"/>
    <w:uiPriority w:val="99"/>
    <w:unhideWhenUsed/>
    <w:rsid w:val="00AA58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A5818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A58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A5818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B58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6B583A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Intense Emphasis"/>
    <w:basedOn w:val="a0"/>
    <w:uiPriority w:val="21"/>
    <w:qFormat/>
    <w:rsid w:val="008A4FA5"/>
    <w:rPr>
      <w:i/>
      <w:iCs/>
      <w:color w:val="5B9BD5" w:themeColor="accent1"/>
    </w:rPr>
  </w:style>
  <w:style w:type="character" w:styleId="ae">
    <w:name w:val="Hyperlink"/>
    <w:basedOn w:val="a0"/>
    <w:uiPriority w:val="99"/>
    <w:semiHidden/>
    <w:unhideWhenUsed/>
    <w:rsid w:val="00C94D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javascript:/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張婉貞</dc:creator>
  <cp:keywords/>
  <dc:description/>
  <cp:lastModifiedBy>張婉貞</cp:lastModifiedBy>
  <cp:revision>2</cp:revision>
  <cp:lastPrinted>2019-09-17T06:07:00Z</cp:lastPrinted>
  <dcterms:created xsi:type="dcterms:W3CDTF">2019-09-24T02:38:00Z</dcterms:created>
  <dcterms:modified xsi:type="dcterms:W3CDTF">2019-09-24T02:38:00Z</dcterms:modified>
</cp:coreProperties>
</file>